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3" w:rsidRDefault="00C6619B" w:rsidP="00C661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  <w:r w:rsidR="009434F3"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34F3" w:rsidRDefault="009434F3" w:rsidP="00C661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протоколу публичных слушаний </w:t>
      </w:r>
    </w:p>
    <w:p w:rsidR="00C6619B" w:rsidRDefault="009434F3" w:rsidP="00C661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26.08.2020 г.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  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6D9" w:rsidRPr="002E7D7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7D79">
        <w:rPr>
          <w:rFonts w:ascii="Times New Roman" w:hAnsi="Times New Roman" w:cs="Times New Roman"/>
          <w:sz w:val="28"/>
          <w:szCs w:val="28"/>
        </w:rPr>
        <w:t>РЕШЕНИЕ</w:t>
      </w:r>
      <w:r w:rsidRPr="002E7D7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области»</w:t>
      </w:r>
    </w:p>
    <w:p w:rsidR="006F16D9" w:rsidRDefault="006F16D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D79" w:rsidRPr="002E7D79" w:rsidRDefault="001C3498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 Статьи 2 Главы 1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«5. Административным центром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поселок Новые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2E7D79">
        <w:rPr>
          <w:rFonts w:ascii="Times New Roman" w:hAnsi="Times New Roman" w:cs="Times New Roman"/>
          <w:i/>
          <w:sz w:val="28"/>
          <w:szCs w:val="28"/>
        </w:rPr>
        <w:t>».</w:t>
      </w:r>
    </w:p>
    <w:p w:rsidR="002E7D79" w:rsidRPr="002E7D79" w:rsidRDefault="009434F3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34F3">
        <w:rPr>
          <w:rFonts w:ascii="Times New Roman" w:hAnsi="Times New Roman" w:cs="Times New Roman"/>
          <w:sz w:val="28"/>
          <w:szCs w:val="28"/>
        </w:rPr>
        <w:t>исключить</w:t>
      </w:r>
    </w:p>
    <w:p w:rsidR="009434F3" w:rsidRPr="009434F3" w:rsidRDefault="009434F3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F3">
        <w:rPr>
          <w:rFonts w:ascii="Times New Roman" w:hAnsi="Times New Roman" w:cs="Times New Roman"/>
          <w:sz w:val="28"/>
          <w:szCs w:val="28"/>
        </w:rPr>
        <w:t>- исключить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4 Главы 1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дополнить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абзацем </w:t>
      </w:r>
      <w:r w:rsidR="002E7D79"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«Местное самоуправление осуществляется на всей территории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</w:t>
      </w:r>
      <w:r w:rsidR="00786439">
        <w:rPr>
          <w:rFonts w:ascii="Times New Roman" w:hAnsi="Times New Roman" w:cs="Times New Roman"/>
          <w:sz w:val="28"/>
          <w:szCs w:val="28"/>
        </w:rPr>
        <w:t>рковичского</w:t>
      </w:r>
      <w:proofErr w:type="spellEnd"/>
      <w:r w:rsidR="0078643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E7D79" w:rsidRPr="009434F3" w:rsidRDefault="009434F3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434F3">
        <w:rPr>
          <w:rFonts w:ascii="Times New Roman" w:hAnsi="Times New Roman" w:cs="Times New Roman"/>
          <w:sz w:val="28"/>
          <w:szCs w:val="28"/>
        </w:rPr>
        <w:t xml:space="preserve"> исключить</w:t>
      </w:r>
    </w:p>
    <w:p w:rsidR="002E7D79" w:rsidRPr="002E7D79" w:rsidRDefault="009434F3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34F3">
        <w:rPr>
          <w:rFonts w:ascii="Times New Roman" w:hAnsi="Times New Roman" w:cs="Times New Roman"/>
          <w:sz w:val="28"/>
          <w:szCs w:val="28"/>
        </w:rPr>
        <w:t>исключить</w:t>
      </w:r>
    </w:p>
    <w:p w:rsidR="002E7D79" w:rsidRPr="002E7D79" w:rsidRDefault="001C3498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 Статьи 17 Главы 3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2E7D79">
        <w:rPr>
          <w:rFonts w:ascii="Times New Roman" w:hAnsi="Times New Roman" w:cs="Times New Roman"/>
          <w:i/>
          <w:sz w:val="28"/>
          <w:szCs w:val="28"/>
        </w:rPr>
        <w:t>».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Статьи 26 Главы 4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во 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втором абзаце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после слов «(далее –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депутатов, Совет народных депутатов)» дополнить абзацем следующего содержания: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«Представительный орган поселения состоит из депутатов, избираемых на муниципальных выборах</w:t>
      </w:r>
      <w:r w:rsidR="00786439">
        <w:rPr>
          <w:rFonts w:ascii="Times New Roman" w:hAnsi="Times New Roman" w:cs="Times New Roman"/>
          <w:sz w:val="28"/>
          <w:szCs w:val="28"/>
        </w:rPr>
        <w:t>».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27 Главы 4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«1.1. Депутат - член представительного органа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1A6">
        <w:rPr>
          <w:rFonts w:ascii="Times New Roman" w:hAnsi="Times New Roman" w:cs="Times New Roman"/>
          <w:sz w:val="28"/>
          <w:szCs w:val="28"/>
        </w:rPr>
        <w:t>»</w:t>
      </w:r>
      <w:r w:rsidRPr="002E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79" w:rsidRPr="002E7D79" w:rsidRDefault="009434F3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9434F3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6 Статьи 34 Главы 4 </w:t>
      </w:r>
      <w:r w:rsidR="002E7D79"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«6. Осуществляющие свои полномочи</w:t>
      </w:r>
      <w:r w:rsidR="00786439">
        <w:rPr>
          <w:rFonts w:ascii="Times New Roman" w:hAnsi="Times New Roman" w:cs="Times New Roman"/>
          <w:sz w:val="28"/>
          <w:szCs w:val="28"/>
        </w:rPr>
        <w:t>я на постоянной основе депутат</w:t>
      </w:r>
      <w:r w:rsidRPr="002E7D79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</w:t>
      </w:r>
      <w:r w:rsidR="00786439">
        <w:rPr>
          <w:rFonts w:ascii="Times New Roman" w:hAnsi="Times New Roman" w:cs="Times New Roman"/>
          <w:sz w:val="28"/>
          <w:szCs w:val="28"/>
        </w:rPr>
        <w:t>ца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 xml:space="preserve"> (руководителя высшего исполнительного органа го</w:t>
      </w:r>
      <w:r w:rsidR="00786439">
        <w:rPr>
          <w:rFonts w:ascii="Times New Roman" w:hAnsi="Times New Roman" w:cs="Times New Roman"/>
          <w:sz w:val="28"/>
          <w:szCs w:val="28"/>
        </w:rPr>
        <w:t>сударственной власти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) в порядке, установленном закон</w:t>
      </w:r>
      <w:r w:rsidR="00786439">
        <w:rPr>
          <w:rFonts w:ascii="Times New Roman" w:hAnsi="Times New Roman" w:cs="Times New Roman"/>
          <w:sz w:val="28"/>
          <w:szCs w:val="28"/>
        </w:rPr>
        <w:t>ом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</w:t>
      </w:r>
      <w:r w:rsidR="00F32F06">
        <w:rPr>
          <w:rFonts w:ascii="Times New Roman" w:hAnsi="Times New Roman" w:cs="Times New Roman"/>
          <w:sz w:val="28"/>
          <w:szCs w:val="28"/>
        </w:rPr>
        <w:t>ий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F32F06">
        <w:rPr>
          <w:rFonts w:ascii="Times New Roman" w:hAnsi="Times New Roman" w:cs="Times New Roman"/>
          <w:sz w:val="28"/>
          <w:szCs w:val="28"/>
        </w:rPr>
        <w:t>»</w:t>
      </w:r>
      <w:r w:rsidRPr="002E7D79">
        <w:rPr>
          <w:rFonts w:ascii="Times New Roman" w:hAnsi="Times New Roman" w:cs="Times New Roman"/>
          <w:sz w:val="28"/>
          <w:szCs w:val="28"/>
        </w:rPr>
        <w:t>.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>1</w:t>
      </w:r>
      <w:r w:rsidR="001C3498">
        <w:rPr>
          <w:rFonts w:ascii="Times New Roman" w:hAnsi="Times New Roman" w:cs="Times New Roman"/>
          <w:b/>
          <w:sz w:val="28"/>
          <w:szCs w:val="28"/>
        </w:rPr>
        <w:t>.13. Пункт 6.1 Статьи 34 Главы 4</w:t>
      </w:r>
      <w:r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F32F06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Депутат должен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и другими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 Полномочия депутата </w:t>
      </w:r>
      <w:r w:rsidR="002E7D79" w:rsidRPr="002E7D7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</w:t>
      </w:r>
      <w:r w:rsidR="00880A4E">
        <w:rPr>
          <w:rFonts w:ascii="Times New Roman" w:hAnsi="Times New Roman" w:cs="Times New Roman"/>
          <w:sz w:val="28"/>
          <w:szCs w:val="28"/>
        </w:rPr>
        <w:t>х доходам»</w:t>
      </w:r>
      <w:r w:rsidR="002E7D79" w:rsidRPr="002E7D79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от 7 мая 2013 года N 79-ФЗ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2E7D79" w:rsidRPr="002E7D79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№131-ФЗ.</w:t>
      </w:r>
      <w:r w:rsidR="00880A4E">
        <w:rPr>
          <w:rFonts w:ascii="Times New Roman" w:hAnsi="Times New Roman" w:cs="Times New Roman"/>
          <w:sz w:val="28"/>
          <w:szCs w:val="28"/>
        </w:rPr>
        <w:t>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 xml:space="preserve">1.14. </w:t>
      </w:r>
      <w:r w:rsidR="009434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34F3"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 xml:space="preserve">1.15. </w:t>
      </w:r>
      <w:r w:rsidR="009434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34F3"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 xml:space="preserve">1.16. </w:t>
      </w:r>
      <w:r w:rsidR="009434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34F3" w:rsidRPr="009434F3">
        <w:rPr>
          <w:rFonts w:ascii="Times New Roman" w:hAnsi="Times New Roman" w:cs="Times New Roman"/>
          <w:sz w:val="28"/>
          <w:szCs w:val="28"/>
        </w:rPr>
        <w:t>исключить</w:t>
      </w:r>
    </w:p>
    <w:p w:rsidR="002E7D79" w:rsidRPr="002E7D79" w:rsidRDefault="001C3498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 Статью 36 Главы 5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пунктом 8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2E7D79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«8. Муниципальные нормативные правовые акты муниципального образования,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соответствующего муниципального образования в порядке, установленном муниципальными нормативными правовыми актами в соответствии с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</w:p>
    <w:p w:rsidR="002E7D79" w:rsidRPr="002E7D79" w:rsidRDefault="002E7D79" w:rsidP="0094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 xml:space="preserve">1.18. </w:t>
      </w:r>
      <w:r w:rsidR="009434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34F3"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2E7D79" w:rsidP="0094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 xml:space="preserve">1.19. </w:t>
      </w:r>
      <w:r w:rsidR="009434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34F3" w:rsidRPr="009434F3">
        <w:rPr>
          <w:rFonts w:ascii="Times New Roman" w:hAnsi="Times New Roman" w:cs="Times New Roman"/>
          <w:sz w:val="28"/>
          <w:szCs w:val="28"/>
        </w:rPr>
        <w:t xml:space="preserve">исключить </w:t>
      </w:r>
    </w:p>
    <w:p w:rsidR="002E7D79" w:rsidRPr="002E7D79" w:rsidRDefault="001C3498" w:rsidP="001C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1.20. Статья 50 Главы 6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наименовании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50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«Субсидии»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дополнить словом «, дотации».</w:t>
      </w:r>
    </w:p>
    <w:p w:rsidR="002E7D79" w:rsidRPr="002E7D79" w:rsidRDefault="001C3498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1.21. Статья 50 Глава 6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пункте 2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 </w:t>
      </w:r>
      <w:r w:rsidR="002E7D79" w:rsidRPr="002E7D79">
        <w:rPr>
          <w:rFonts w:ascii="Times New Roman" w:hAnsi="Times New Roman" w:cs="Times New Roman"/>
          <w:sz w:val="28"/>
          <w:szCs w:val="28"/>
        </w:rPr>
        <w:t>после слова «предоставлены» дополнить словами «дотации и».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>1.22.</w:t>
      </w:r>
      <w:r w:rsidRPr="002E7D79">
        <w:rPr>
          <w:rFonts w:ascii="Times New Roman" w:hAnsi="Times New Roman" w:cs="Times New Roman"/>
          <w:sz w:val="28"/>
          <w:szCs w:val="28"/>
        </w:rPr>
        <w:t xml:space="preserve"> </w:t>
      </w:r>
      <w:r w:rsidR="009434F3">
        <w:rPr>
          <w:rFonts w:ascii="Times New Roman" w:hAnsi="Times New Roman" w:cs="Times New Roman"/>
          <w:sz w:val="28"/>
          <w:szCs w:val="28"/>
        </w:rPr>
        <w:t xml:space="preserve">– исключить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b/>
          <w:sz w:val="28"/>
          <w:szCs w:val="28"/>
        </w:rPr>
        <w:t>1.23.</w:t>
      </w:r>
      <w:r w:rsidRPr="002E7D79">
        <w:rPr>
          <w:rFonts w:ascii="Times New Roman" w:hAnsi="Times New Roman" w:cs="Times New Roman"/>
          <w:sz w:val="28"/>
          <w:szCs w:val="28"/>
        </w:rPr>
        <w:t xml:space="preserve"> 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Статью 50 Главы 6 </w:t>
      </w:r>
      <w:r w:rsidRPr="002E7D79">
        <w:rPr>
          <w:rFonts w:ascii="Times New Roman" w:hAnsi="Times New Roman" w:cs="Times New Roman"/>
          <w:sz w:val="28"/>
          <w:szCs w:val="28"/>
        </w:rPr>
        <w:t>дополнить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пунктом 4</w:t>
      </w:r>
      <w:r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2E7D79" w:rsidP="00CB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«4.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  <w:r w:rsidRPr="002E7D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7D79" w:rsidRPr="002E7D79" w:rsidRDefault="00786439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1.24. Главу 7 </w:t>
      </w:r>
      <w:r w:rsidRPr="0078643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Статьей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53.</w:t>
      </w:r>
      <w:r w:rsidR="001C34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907"/>
      <w:bookmarkEnd w:id="0"/>
      <w:r w:rsidRPr="002E7D79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2C5375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</w:p>
    <w:p w:rsidR="002C5375" w:rsidRPr="002C5375" w:rsidRDefault="002C5375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375">
        <w:rPr>
          <w:rFonts w:ascii="Times New Roman" w:hAnsi="Times New Roman" w:cs="Times New Roman"/>
          <w:b/>
          <w:sz w:val="28"/>
          <w:szCs w:val="28"/>
        </w:rPr>
        <w:t>1.25.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75">
        <w:rPr>
          <w:rFonts w:ascii="Times New Roman" w:hAnsi="Times New Roman" w:cs="Times New Roman"/>
          <w:b/>
          <w:sz w:val="28"/>
          <w:szCs w:val="28"/>
        </w:rPr>
        <w:t>Пунк</w:t>
      </w:r>
      <w:r>
        <w:rPr>
          <w:rFonts w:ascii="Times New Roman" w:hAnsi="Times New Roman" w:cs="Times New Roman"/>
          <w:b/>
          <w:sz w:val="28"/>
          <w:szCs w:val="28"/>
        </w:rPr>
        <w:t>т 1 Статьи 7 Гл. 2</w:t>
      </w:r>
      <w:r w:rsidRPr="002C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37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подпунктом 14</w:t>
      </w:r>
      <w:r w:rsidRPr="002C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3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C5375" w:rsidRDefault="002C5375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2C5375">
        <w:rPr>
          <w:rFonts w:ascii="Times New Roman" w:hAnsi="Times New Roman" w:cs="Times New Roman"/>
          <w:sz w:val="28"/>
          <w:szCs w:val="28"/>
        </w:rPr>
        <w:t>).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E7D79" w:rsidRPr="002E7D79" w:rsidRDefault="002C5375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1.26. Подпункт 4.1 Пункта 1 Статьи 9 Главы 2 </w:t>
      </w:r>
      <w:r>
        <w:rPr>
          <w:rFonts w:ascii="Times New Roman" w:hAnsi="Times New Roman" w:cs="Times New Roman"/>
          <w:sz w:val="28"/>
          <w:szCs w:val="28"/>
        </w:rPr>
        <w:t>-  исключить.</w:t>
      </w:r>
    </w:p>
    <w:p w:rsidR="00701327" w:rsidRPr="00701327" w:rsidRDefault="00701327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 Пункте 4 Статьи 20 Главы 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01327">
        <w:rPr>
          <w:rFonts w:ascii="Times New Roman" w:hAnsi="Times New Roman" w:cs="Times New Roman"/>
          <w:sz w:val="28"/>
          <w:szCs w:val="28"/>
        </w:rPr>
        <w:t xml:space="preserve">слова «по проектам и вопросам, </w:t>
      </w:r>
    </w:p>
    <w:p w:rsidR="00CD1771" w:rsidRDefault="00701327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27">
        <w:rPr>
          <w:rFonts w:ascii="Times New Roman" w:hAnsi="Times New Roman" w:cs="Times New Roman"/>
          <w:sz w:val="28"/>
          <w:szCs w:val="28"/>
        </w:rPr>
        <w:t>указан</w:t>
      </w:r>
      <w:r w:rsidR="00CB01A6">
        <w:rPr>
          <w:rFonts w:ascii="Times New Roman" w:hAnsi="Times New Roman" w:cs="Times New Roman"/>
          <w:sz w:val="28"/>
          <w:szCs w:val="28"/>
        </w:rPr>
        <w:t>ным в части 3 настоящей статьи»</w:t>
      </w:r>
      <w:r w:rsidRPr="00701327"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CD1771" w:rsidRPr="00CD1771" w:rsidRDefault="00CD1771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1.28. Статью 28 Главы 4</w:t>
      </w:r>
      <w:r w:rsidRPr="00CD1771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71">
        <w:rPr>
          <w:rFonts w:ascii="Times New Roman" w:hAnsi="Times New Roman" w:cs="Times New Roman"/>
          <w:b/>
          <w:sz w:val="28"/>
          <w:szCs w:val="28"/>
        </w:rPr>
        <w:t>пунктом 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CD1771">
        <w:rPr>
          <w:rFonts w:ascii="Times New Roman" w:hAnsi="Times New Roman" w:cs="Times New Roman"/>
          <w:b/>
          <w:sz w:val="28"/>
          <w:szCs w:val="28"/>
        </w:rPr>
        <w:t>:</w:t>
      </w:r>
    </w:p>
    <w:p w:rsidR="00CD1771" w:rsidRPr="00CD1771" w:rsidRDefault="00CD1771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t>«17.  В случае принятия закона Брянской области, изменяющего порядок избрания главы муниципального образования, устав подлежит приведению в соответствие с указанным законом в течение трех месяцев со дня вступления в силу указанного закона.</w:t>
      </w:r>
    </w:p>
    <w:p w:rsidR="00CD1771" w:rsidRDefault="00CD1771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lastRenderedPageBreak/>
        <w:t>Новый порядок применяется после истечения срока полномочий главы муниципального образования, избранного до дня вступления в силу указанного закона Брянской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771" w:rsidRPr="00CD1771" w:rsidRDefault="00B305BB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1.29</w:t>
      </w:r>
      <w:r w:rsidR="00CD1771" w:rsidRPr="00CD1771">
        <w:rPr>
          <w:rFonts w:ascii="Times New Roman" w:hAnsi="Times New Roman" w:cs="Times New Roman"/>
          <w:b/>
          <w:sz w:val="28"/>
          <w:szCs w:val="28"/>
        </w:rPr>
        <w:t>. Статью 28 Главы 4</w:t>
      </w:r>
      <w:r w:rsidR="00CD1771" w:rsidRPr="00CD177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D1771">
        <w:rPr>
          <w:rFonts w:ascii="Times New Roman" w:hAnsi="Times New Roman" w:cs="Times New Roman"/>
          <w:b/>
          <w:sz w:val="28"/>
          <w:szCs w:val="28"/>
        </w:rPr>
        <w:t>пунктом 18</w:t>
      </w:r>
      <w:r w:rsidR="00CD1771" w:rsidRPr="00CD177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D1771">
        <w:rPr>
          <w:rFonts w:ascii="Times New Roman" w:hAnsi="Times New Roman" w:cs="Times New Roman"/>
          <w:b/>
          <w:sz w:val="28"/>
          <w:szCs w:val="28"/>
        </w:rPr>
        <w:t>:</w:t>
      </w:r>
    </w:p>
    <w:p w:rsidR="00B305BB" w:rsidRDefault="00CD1771" w:rsidP="006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771">
        <w:rPr>
          <w:rFonts w:ascii="Times New Roman" w:hAnsi="Times New Roman" w:cs="Times New Roman"/>
          <w:sz w:val="28"/>
          <w:szCs w:val="28"/>
        </w:rPr>
        <w:t>18. Главе муниципального образования устанавливаются ограничения, не позволяющие одному и тому же лицу занимать должность главы муниципального образования более двух сроков подряд. (ФЗ №131-ФЗ п.3.2. ст.36)».</w:t>
      </w:r>
    </w:p>
    <w:p w:rsidR="00CB01A6" w:rsidRDefault="00B305BB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1.30.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1F8">
        <w:rPr>
          <w:rFonts w:ascii="Times New Roman" w:hAnsi="Times New Roman" w:cs="Times New Roman"/>
          <w:b/>
          <w:sz w:val="28"/>
          <w:szCs w:val="28"/>
        </w:rPr>
        <w:t>Пункт 2 Статьи 40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 Главы 5 </w:t>
      </w:r>
      <w:r w:rsidR="001C0D2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1C0D2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D7090" w:rsidRDefault="001C0D23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(обнародования) муниципальных нормативных правовых актов на территории муниципального образования </w:t>
      </w:r>
      <w:proofErr w:type="spellStart"/>
      <w:r w:rsidR="002322C7" w:rsidRPr="002322C7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2322C7" w:rsidRPr="002322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322C7">
        <w:rPr>
          <w:rFonts w:ascii="Times New Roman" w:hAnsi="Times New Roman" w:cs="Times New Roman"/>
          <w:sz w:val="28"/>
          <w:szCs w:val="28"/>
        </w:rPr>
        <w:t xml:space="preserve"> Брянского </w:t>
      </w:r>
      <w:r w:rsidR="00CB01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22C7">
        <w:rPr>
          <w:rFonts w:ascii="Times New Roman" w:hAnsi="Times New Roman" w:cs="Times New Roman"/>
          <w:sz w:val="28"/>
          <w:szCs w:val="28"/>
        </w:rPr>
        <w:t>района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 является периоди</w:t>
      </w:r>
      <w:r w:rsidR="00F07BBE">
        <w:rPr>
          <w:rFonts w:ascii="Times New Roman" w:hAnsi="Times New Roman" w:cs="Times New Roman"/>
          <w:sz w:val="28"/>
          <w:szCs w:val="28"/>
        </w:rPr>
        <w:t xml:space="preserve">ческое печатное издание «СБОРНИК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НПА» </w:t>
      </w:r>
      <w:r w:rsidR="002322C7">
        <w:rPr>
          <w:rFonts w:ascii="Times New Roman" w:hAnsi="Times New Roman" w:cs="Times New Roman"/>
          <w:sz w:val="28"/>
          <w:szCs w:val="28"/>
        </w:rPr>
        <w:t xml:space="preserve">(Сборник нормативных правовых актов) </w:t>
      </w:r>
      <w:r w:rsidR="002322C7" w:rsidRPr="002322C7">
        <w:rPr>
          <w:rFonts w:ascii="Times New Roman" w:hAnsi="Times New Roman" w:cs="Times New Roman"/>
          <w:sz w:val="28"/>
          <w:szCs w:val="28"/>
        </w:rPr>
        <w:t>-</w:t>
      </w:r>
      <w:r w:rsidR="002322C7" w:rsidRPr="00CB01A6">
        <w:rPr>
          <w:rFonts w:ascii="Times New Roman" w:hAnsi="Times New Roman" w:cs="Times New Roman"/>
          <w:sz w:val="28"/>
          <w:szCs w:val="28"/>
        </w:rPr>
        <w:t xml:space="preserve"> печатное средство массовой информации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, издаваемое </w:t>
      </w:r>
      <w:proofErr w:type="spellStart"/>
      <w:r w:rsidR="002322C7">
        <w:rPr>
          <w:rFonts w:ascii="Times New Roman" w:hAnsi="Times New Roman" w:cs="Times New Roman"/>
          <w:sz w:val="28"/>
          <w:szCs w:val="28"/>
        </w:rPr>
        <w:t>Новодарковичским</w:t>
      </w:r>
      <w:proofErr w:type="spellEnd"/>
      <w:r w:rsidR="002322C7">
        <w:rPr>
          <w:rFonts w:ascii="Times New Roman" w:hAnsi="Times New Roman" w:cs="Times New Roman"/>
          <w:sz w:val="28"/>
          <w:szCs w:val="28"/>
        </w:rPr>
        <w:t xml:space="preserve">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</w:t>
      </w:r>
      <w:r w:rsidR="007D7090">
        <w:rPr>
          <w:rFonts w:ascii="Times New Roman" w:hAnsi="Times New Roman" w:cs="Times New Roman"/>
          <w:sz w:val="28"/>
          <w:szCs w:val="28"/>
        </w:rPr>
        <w:t xml:space="preserve">малым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тиражом до 5 экземпляров с периодичностью не реже 1 раза в три месяца </w:t>
      </w:r>
      <w:r w:rsidR="00CB01A6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</w:t>
      </w:r>
      <w:r w:rsidR="007D7090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правовых актов или отдельных их положений, содержащих сведения, распространение которых ограничено федеральным законом)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, обсуждения проектов </w:t>
      </w:r>
      <w:r w:rsidR="00CB01A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</w:t>
      </w:r>
      <w:r w:rsidR="00CB01A6">
        <w:rPr>
          <w:rFonts w:ascii="Times New Roman" w:hAnsi="Times New Roman" w:cs="Times New Roman"/>
          <w:sz w:val="28"/>
          <w:szCs w:val="28"/>
        </w:rPr>
        <w:t xml:space="preserve">доведения до сведения жителей муниципального образования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</w:t>
      </w:r>
      <w:r w:rsidR="00CB01A6">
        <w:rPr>
          <w:rFonts w:ascii="Times New Roman" w:hAnsi="Times New Roman" w:cs="Times New Roman"/>
          <w:sz w:val="28"/>
          <w:szCs w:val="28"/>
        </w:rPr>
        <w:t>ическом и культурном развитии муниципального образования</w:t>
      </w:r>
      <w:r w:rsidR="002322C7" w:rsidRPr="002322C7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информации, и для распространения</w:t>
      </w:r>
      <w:r w:rsidR="007D7090">
        <w:rPr>
          <w:rFonts w:ascii="Times New Roman" w:hAnsi="Times New Roman" w:cs="Times New Roman"/>
          <w:sz w:val="28"/>
          <w:szCs w:val="28"/>
        </w:rPr>
        <w:t xml:space="preserve"> (размещения)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в общедоступных общественных местах </w:t>
      </w:r>
      <w:r w:rsidR="007D70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7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7BB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EC1EBB">
        <w:rPr>
          <w:rFonts w:ascii="Times New Roman" w:hAnsi="Times New Roman" w:cs="Times New Roman"/>
          <w:sz w:val="28"/>
          <w:szCs w:val="28"/>
        </w:rPr>
        <w:t xml:space="preserve"> </w:t>
      </w:r>
      <w:r w:rsidR="00F07B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</w:t>
      </w:r>
      <w:r w:rsidR="00EC1EBB">
        <w:rPr>
          <w:rFonts w:ascii="Times New Roman" w:hAnsi="Times New Roman" w:cs="Times New Roman"/>
          <w:sz w:val="28"/>
          <w:szCs w:val="28"/>
        </w:rPr>
        <w:t>для обеспечения возможности ознакомления с н</w:t>
      </w:r>
      <w:r w:rsidR="007D7090">
        <w:rPr>
          <w:rFonts w:ascii="Times New Roman" w:hAnsi="Times New Roman" w:cs="Times New Roman"/>
          <w:sz w:val="28"/>
          <w:szCs w:val="28"/>
        </w:rPr>
        <w:t>ими граждан</w:t>
      </w:r>
      <w:r w:rsidR="001C3498">
        <w:rPr>
          <w:rFonts w:ascii="Times New Roman" w:hAnsi="Times New Roman" w:cs="Times New Roman"/>
          <w:sz w:val="28"/>
          <w:szCs w:val="28"/>
        </w:rPr>
        <w:t>.</w:t>
      </w:r>
    </w:p>
    <w:p w:rsidR="001C3498" w:rsidRPr="002322C7" w:rsidRDefault="007D709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90">
        <w:rPr>
          <w:rFonts w:ascii="Times New Roman" w:hAnsi="Times New Roman" w:cs="Times New Roman"/>
          <w:sz w:val="28"/>
          <w:szCs w:val="28"/>
        </w:rPr>
        <w:t xml:space="preserve">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Нормативные правовые акты главы </w:t>
      </w:r>
      <w:proofErr w:type="spellStart"/>
      <w:r w:rsidRPr="007D7090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7D7090">
        <w:rPr>
          <w:rFonts w:ascii="Times New Roman" w:hAnsi="Times New Roman" w:cs="Times New Roman"/>
          <w:sz w:val="28"/>
          <w:szCs w:val="28"/>
        </w:rPr>
        <w:t xml:space="preserve"> сельского поселения, иных органов местного самоуправления и должностных лиц местного самоуправления поселения, подлежат обнародованию в течение десяти дней после дня их принятия.</w:t>
      </w:r>
      <w:r w:rsidR="001C3498" w:rsidRPr="007D7090">
        <w:rPr>
          <w:rFonts w:ascii="Times New Roman" w:hAnsi="Times New Roman" w:cs="Times New Roman"/>
          <w:sz w:val="28"/>
          <w:szCs w:val="28"/>
        </w:rPr>
        <w:t>»</w:t>
      </w:r>
    </w:p>
    <w:p w:rsidR="00CB01A6" w:rsidRPr="001C3498" w:rsidRDefault="00CB01A6" w:rsidP="001C349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98">
        <w:rPr>
          <w:rFonts w:ascii="Times New Roman" w:hAnsi="Times New Roman" w:cs="Times New Roman"/>
          <w:b/>
          <w:sz w:val="28"/>
          <w:szCs w:val="28"/>
        </w:rPr>
        <w:t>В Пункт 2 Статьи 40 Главы 5</w:t>
      </w:r>
      <w:r w:rsidR="007D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90">
        <w:rPr>
          <w:rFonts w:ascii="Times New Roman" w:hAnsi="Times New Roman" w:cs="Times New Roman"/>
          <w:sz w:val="28"/>
          <w:szCs w:val="28"/>
        </w:rPr>
        <w:t>в последний абзац</w:t>
      </w:r>
      <w:r w:rsidR="002322C7" w:rsidRPr="001C3498">
        <w:rPr>
          <w:rFonts w:ascii="Times New Roman" w:hAnsi="Times New Roman" w:cs="Times New Roman"/>
          <w:sz w:val="28"/>
          <w:szCs w:val="28"/>
        </w:rPr>
        <w:t xml:space="preserve"> по тексту после </w:t>
      </w:r>
    </w:p>
    <w:p w:rsidR="00716498" w:rsidRDefault="002322C7" w:rsidP="00CB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A6">
        <w:rPr>
          <w:rFonts w:ascii="Times New Roman" w:hAnsi="Times New Roman" w:cs="Times New Roman"/>
          <w:sz w:val="28"/>
          <w:szCs w:val="28"/>
        </w:rPr>
        <w:t xml:space="preserve">слов «…использовать сетевое издание.» </w:t>
      </w:r>
      <w:r w:rsidR="007D7090">
        <w:rPr>
          <w:rFonts w:ascii="Times New Roman" w:hAnsi="Times New Roman" w:cs="Times New Roman"/>
          <w:b/>
          <w:sz w:val="28"/>
          <w:szCs w:val="28"/>
        </w:rPr>
        <w:t>добав</w:t>
      </w:r>
      <w:r w:rsidRPr="00CB01A6">
        <w:rPr>
          <w:rFonts w:ascii="Times New Roman" w:hAnsi="Times New Roman" w:cs="Times New Roman"/>
          <w:b/>
          <w:sz w:val="28"/>
          <w:szCs w:val="28"/>
        </w:rPr>
        <w:t>ить</w:t>
      </w:r>
      <w:r w:rsidRPr="00CB01A6">
        <w:rPr>
          <w:rFonts w:ascii="Times New Roman" w:hAnsi="Times New Roman" w:cs="Times New Roman"/>
          <w:sz w:val="28"/>
          <w:szCs w:val="28"/>
        </w:rPr>
        <w:t xml:space="preserve"> </w:t>
      </w:r>
      <w:r w:rsidR="007D7090">
        <w:rPr>
          <w:rFonts w:ascii="Times New Roman" w:hAnsi="Times New Roman" w:cs="Times New Roman"/>
          <w:b/>
          <w:sz w:val="28"/>
          <w:szCs w:val="28"/>
        </w:rPr>
        <w:t>текст</w:t>
      </w:r>
      <w:r w:rsidRPr="00CB01A6">
        <w:rPr>
          <w:rFonts w:ascii="Times New Roman" w:hAnsi="Times New Roman" w:cs="Times New Roman"/>
          <w:sz w:val="28"/>
          <w:szCs w:val="28"/>
        </w:rPr>
        <w:t xml:space="preserve">: «по адресу в </w:t>
      </w:r>
      <w:r w:rsidR="00CB01A6" w:rsidRPr="00CB01A6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CB01A6">
        <w:rPr>
          <w:rFonts w:ascii="Times New Roman" w:hAnsi="Times New Roman" w:cs="Times New Roman"/>
          <w:sz w:val="28"/>
          <w:szCs w:val="28"/>
        </w:rPr>
        <w:t>«И</w:t>
      </w:r>
      <w:r w:rsidR="00CB01A6" w:rsidRPr="00CB01A6">
        <w:rPr>
          <w:rFonts w:ascii="Times New Roman" w:hAnsi="Times New Roman" w:cs="Times New Roman"/>
          <w:sz w:val="28"/>
          <w:szCs w:val="28"/>
        </w:rPr>
        <w:t>нтернет</w:t>
      </w:r>
      <w:r w:rsidRPr="00CB01A6">
        <w:rPr>
          <w:rFonts w:ascii="Times New Roman" w:hAnsi="Times New Roman" w:cs="Times New Roman"/>
          <w:sz w:val="28"/>
          <w:szCs w:val="28"/>
        </w:rPr>
        <w:t xml:space="preserve">»  </w:t>
      </w:r>
      <w:hyperlink r:id="rId5" w:history="1">
        <w:r w:rsidR="00716498" w:rsidRPr="00CA15F3">
          <w:rPr>
            <w:rStyle w:val="a3"/>
            <w:rFonts w:ascii="Times New Roman" w:hAnsi="Times New Roman" w:cs="Times New Roman"/>
            <w:sz w:val="28"/>
            <w:szCs w:val="28"/>
          </w:rPr>
          <w:t>http://novodarkovichi.ru/»</w:t>
        </w:r>
      </w:hyperlink>
      <w:r w:rsidRPr="00CB01A6">
        <w:rPr>
          <w:rFonts w:ascii="Times New Roman" w:hAnsi="Times New Roman" w:cs="Times New Roman"/>
          <w:sz w:val="28"/>
          <w:szCs w:val="28"/>
        </w:rPr>
        <w:t>.</w:t>
      </w:r>
    </w:p>
    <w:p w:rsidR="00DC7671" w:rsidRPr="00DC7671" w:rsidRDefault="00DC7671" w:rsidP="00DC7671">
      <w:pPr>
        <w:pStyle w:val="a5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Дополнить устав </w:t>
      </w:r>
      <w:r>
        <w:rPr>
          <w:b/>
          <w:sz w:val="27"/>
          <w:szCs w:val="27"/>
        </w:rPr>
        <w:t>С</w:t>
      </w:r>
      <w:r>
        <w:rPr>
          <w:b/>
          <w:sz w:val="28"/>
          <w:szCs w:val="28"/>
        </w:rPr>
        <w:t xml:space="preserve">татьей 14.1. «Избирательная комиссия сельского 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поселения» </w:t>
      </w:r>
      <w:r>
        <w:rPr>
          <w:sz w:val="28"/>
          <w:szCs w:val="28"/>
        </w:rPr>
        <w:t>следующего содержания: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14.1 Избирательная комиссия сельского поселения</w:t>
      </w:r>
    </w:p>
    <w:p w:rsidR="00DC7671" w:rsidRDefault="00DC7671" w:rsidP="00DC7671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</w:t>
      </w:r>
      <w:r>
        <w:rPr>
          <w:sz w:val="28"/>
          <w:szCs w:val="28"/>
        </w:rPr>
        <w:lastRenderedPageBreak/>
        <w:t>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Избирательная комиссия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является муниципальным органом, который не входит в структуру органов местного самоуправления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Порядок формирования избирательной комиссии муниципального образования устанавливается федеральным </w:t>
      </w:r>
      <w:hyperlink r:id="rId6" w:anchor="dst100308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законом Брянской области, а также настоящим уставом.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Совет народных депутатов обязан назначить половину от общего числа членов избирательной комиссии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на основе поступивших предложений: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политических партий, выдвинувших списки кандидатов, допущенные к распределению депутатских мандатов в Брянской областной Думе, а также политических партий, выдвинувших списки кандидатов, которым переданы депутатские мандаты в соответствии с законом Брянской области, предусмотренным пунктом 17 статьи 35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избирательных объединений, выдвинувших списки кандидатов, допущенные к распределению депутатских мандатов в Совете народных депутатов.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Избирательная комиссия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формируется в количестве восьми членов с правом решающего голоса.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Полномочия избирательной комиссии муниципального образования устанавливаются федеральным </w:t>
      </w:r>
      <w:hyperlink r:id="rId7" w:anchor="dst100308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, законом Брянской области, а также настоящим уставом. 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Избирательная комиссия муниципального образования: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осуществляет на территории поселения контроль за соблюдением избирательных прав и права на участие в референдуме граждан Российской Федерации;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обеспечивает на территории поселения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 </w:t>
      </w:r>
      <w:hyperlink r:id="rId8" w:tooltip="Печатная продукция" w:history="1">
        <w:r>
          <w:rPr>
            <w:rStyle w:val="a3"/>
            <w:color w:val="auto"/>
            <w:sz w:val="28"/>
            <w:szCs w:val="28"/>
          </w:rPr>
          <w:t>печатной продукции</w:t>
        </w:r>
      </w:hyperlink>
      <w:r>
        <w:rPr>
          <w:sz w:val="28"/>
          <w:szCs w:val="28"/>
        </w:rPr>
        <w:t>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осуществляет на территории поселения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      кандидатами, </w:t>
      </w:r>
      <w:hyperlink r:id="rId9" w:tooltip="Избирательные объединения" w:history="1">
        <w:r>
          <w:rPr>
            <w:rStyle w:val="a3"/>
            <w:color w:val="auto"/>
            <w:sz w:val="28"/>
            <w:szCs w:val="28"/>
          </w:rPr>
          <w:t>избирательными объединениями</w:t>
        </w:r>
      </w:hyperlink>
      <w:r>
        <w:rPr>
          <w:sz w:val="28"/>
          <w:szCs w:val="28"/>
        </w:rPr>
        <w:t xml:space="preserve">, избирательными блоками для проведения предвыборной агитации, между инициативной группой по проведению референдума, по голосованию об отзыве депутата, выборного должностного лица местного самоуправления, голосования по вопросу </w:t>
      </w:r>
      <w:r>
        <w:rPr>
          <w:sz w:val="28"/>
          <w:szCs w:val="28"/>
        </w:rPr>
        <w:lastRenderedPageBreak/>
        <w:t>изменения границ, преобразования муниципального образования и иными группами участников референдума, голосования по отзыву, по изменению границ, преобразованию поселения для проведения агитации;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осуществляет на территории поселения меры по обеспечению при проведении выборов в органы местного самоуправления, местного референдума, голосования соблюдения единого порядка установления итогов голосования, определения результатов выборов, референдумов;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д) осуществляет на территории поселения меры по обеспечению при проведении выборов в органы местного самоуправления, местного референдума, голосования соблюдения единого порядка опубликования итогов голосования и результатов выборов, референдумов;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осуществляет на территории поселения меры по организации финансирования подготовки и проведения выборов в органы местного самоуправления, местных референдумов, голосования, распределяет выделенные из местного бюджета и (или) бюджета Брянской области средства на финансовое обеспечение подготовки и проведения выборов в органы местного самоуправления, местного референдума, голосования; контролирует целевое использование указанных средств;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 оказывает правовую, методическую, организационно - техническую помощь нижестоящим комиссиям;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референдума, голосования;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к) осуществляет подготовку и проведение голосования по отзыву депутата, члена выборного органа, выборного должностного лица местного самоуправления, голосование по вопросам изменения границ, преобразования муниципального образования;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л) осуществляет иные полномочия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законодательством Брянской области, настоящим уставом, решениями представительного органа поселения.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Срок полномочий избирательной комиссии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составляет пять лет.</w:t>
      </w:r>
    </w:p>
    <w:p w:rsidR="00DC7671" w:rsidRDefault="00DC7671" w:rsidP="00DC76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Полномочия избирательной комиссии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по решению Избирательной комиссии Брянской области, принятому на основании обращения Совета народных депутатов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поселения, могут возлагаться на Территориальную избирательную комиссию Брянского муниципального района.»</w:t>
      </w:r>
    </w:p>
    <w:p w:rsidR="001C0D23" w:rsidRPr="00DC7671" w:rsidRDefault="001C0D23" w:rsidP="00DC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036" w:rsidRPr="00755036" w:rsidRDefault="00755036" w:rsidP="00755036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bookmarkStart w:id="1" w:name="_GoBack"/>
      <w:bookmarkEnd w:id="1"/>
    </w:p>
    <w:sectPr w:rsidR="00755036" w:rsidRPr="0075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B6"/>
    <w:multiLevelType w:val="multilevel"/>
    <w:tmpl w:val="AE6A9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" w15:restartNumberingAfterBreak="0">
    <w:nsid w:val="1A0A2437"/>
    <w:multiLevelType w:val="multilevel"/>
    <w:tmpl w:val="29DAF0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 w15:restartNumberingAfterBreak="0">
    <w:nsid w:val="5532397D"/>
    <w:multiLevelType w:val="multilevel"/>
    <w:tmpl w:val="7BBC4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7"/>
      </w:rPr>
    </w:lvl>
  </w:abstractNum>
  <w:abstractNum w:abstractNumId="3" w15:restartNumberingAfterBreak="0">
    <w:nsid w:val="7CD6671D"/>
    <w:multiLevelType w:val="multilevel"/>
    <w:tmpl w:val="1576C1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2"/>
    <w:rsid w:val="001C0D23"/>
    <w:rsid w:val="001C3498"/>
    <w:rsid w:val="002322C7"/>
    <w:rsid w:val="002A3CF4"/>
    <w:rsid w:val="002C5375"/>
    <w:rsid w:val="002E7D79"/>
    <w:rsid w:val="00313128"/>
    <w:rsid w:val="004E4732"/>
    <w:rsid w:val="0065657C"/>
    <w:rsid w:val="006E5CEE"/>
    <w:rsid w:val="006F16D9"/>
    <w:rsid w:val="00701327"/>
    <w:rsid w:val="00716498"/>
    <w:rsid w:val="00755036"/>
    <w:rsid w:val="00786439"/>
    <w:rsid w:val="007D7090"/>
    <w:rsid w:val="008201F8"/>
    <w:rsid w:val="00880A4E"/>
    <w:rsid w:val="0091716D"/>
    <w:rsid w:val="009434F3"/>
    <w:rsid w:val="00B305BB"/>
    <w:rsid w:val="00B94148"/>
    <w:rsid w:val="00C6619B"/>
    <w:rsid w:val="00CB01A6"/>
    <w:rsid w:val="00CD1771"/>
    <w:rsid w:val="00DC7671"/>
    <w:rsid w:val="00EC1EBB"/>
    <w:rsid w:val="00F07BBE"/>
    <w:rsid w:val="00F32F06"/>
    <w:rsid w:val="00FC18D2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77A"/>
  <w15:chartTrackingRefBased/>
  <w15:docId w15:val="{71D9138B-719D-475E-8AD0-D5563584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D7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E7D79"/>
    <w:pPr>
      <w:ind w:left="720"/>
      <w:contextualSpacing/>
    </w:pPr>
  </w:style>
  <w:style w:type="character" w:customStyle="1" w:styleId="FontStyle">
    <w:name w:val="Font Style"/>
    <w:rsid w:val="007D7090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C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chatnaya_produk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900/808c233b74a2b35a89a3c1b03a8a892940a8f3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900/808c233b74a2b35a89a3c1b03a8a892940a8f3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vodarkovich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zbiratelmz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2020-07-07T11:52:00Z</dcterms:created>
  <dcterms:modified xsi:type="dcterms:W3CDTF">2020-08-25T12:18:00Z</dcterms:modified>
</cp:coreProperties>
</file>